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TOPLU İŞ SÖZLEŞMESİNDE ARABULUCUYA VE HAKEME BAŞVURMA YÖNETMELİĞİ</w:t>
      </w:r>
    </w:p>
    <w:p w:rsidR="008104AD" w:rsidRDefault="00AC381D" w:rsidP="00AC381D">
      <w:pPr>
        <w:spacing w:after="0" w:line="240" w:lineRule="auto"/>
        <w:jc w:val="center"/>
        <w:rPr>
          <w:rFonts w:ascii="Times New Roman" w:hAnsi="Times New Roman" w:cs="Times New Roman"/>
          <w:sz w:val="24"/>
          <w:szCs w:val="24"/>
        </w:rPr>
      </w:pPr>
      <w:r w:rsidRPr="00AC381D">
        <w:rPr>
          <w:rFonts w:ascii="Times New Roman" w:eastAsia="Times New Roman" w:hAnsi="Times New Roman" w:cs="Times New Roman"/>
          <w:sz w:val="24"/>
          <w:szCs w:val="24"/>
          <w:lang w:eastAsia="tr-TR"/>
        </w:rPr>
        <w:t xml:space="preserve">Yayımlandığı Resmi Gazete Tarihi/Sayısı:  </w:t>
      </w:r>
      <w:r w:rsidRPr="00AC381D">
        <w:rPr>
          <w:rFonts w:ascii="Times New Roman" w:hAnsi="Times New Roman" w:cs="Times New Roman"/>
          <w:sz w:val="24"/>
          <w:szCs w:val="24"/>
        </w:rPr>
        <w:t xml:space="preserve">07.12.2013 /28844  </w:t>
      </w:r>
    </w:p>
    <w:p w:rsidR="008104AD" w:rsidRDefault="008104AD" w:rsidP="008104AD">
      <w:pPr>
        <w:spacing w:after="0" w:line="240" w:lineRule="auto"/>
        <w:jc w:val="center"/>
        <w:rPr>
          <w:rFonts w:ascii="Times New Roman" w:eastAsia="Times New Roman" w:hAnsi="Times New Roman" w:cs="Times New Roman"/>
          <w:b/>
          <w:sz w:val="24"/>
          <w:szCs w:val="24"/>
          <w:lang w:eastAsia="tr-TR"/>
        </w:rPr>
      </w:pPr>
    </w:p>
    <w:p w:rsidR="008104AD" w:rsidRDefault="008104AD" w:rsidP="008104A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Son Değişiklik Tarihi:</w:t>
      </w:r>
      <w:r>
        <w:rPr>
          <w:rFonts w:ascii="Times New Roman" w:eastAsia="Times New Roman" w:hAnsi="Times New Roman" w:cs="Times New Roman"/>
          <w:sz w:val="24"/>
          <w:szCs w:val="24"/>
          <w:lang w:eastAsia="tr-TR"/>
        </w:rPr>
        <w:t xml:space="preserve"> </w:t>
      </w:r>
      <w:r w:rsidR="00AF1294">
        <w:rPr>
          <w:rFonts w:ascii="Verdana" w:hAnsi="Verdana"/>
          <w:color w:val="000000"/>
          <w:sz w:val="19"/>
          <w:szCs w:val="19"/>
          <w:shd w:val="clear" w:color="auto" w:fill="FFFFFF"/>
        </w:rPr>
        <w:t>04.03.2016/29643</w:t>
      </w:r>
      <w:bookmarkStart w:id="0" w:name="_GoBack"/>
      <w:bookmarkEnd w:id="0"/>
    </w:p>
    <w:p w:rsidR="00AC381D" w:rsidRPr="00AC381D" w:rsidRDefault="00AC381D" w:rsidP="00AC381D">
      <w:pPr>
        <w:spacing w:after="0" w:line="240" w:lineRule="auto"/>
        <w:jc w:val="center"/>
        <w:rPr>
          <w:rFonts w:ascii="Times New Roman" w:eastAsia="Times New Roman" w:hAnsi="Times New Roman" w:cs="Times New Roman"/>
          <w:sz w:val="24"/>
          <w:szCs w:val="24"/>
          <w:lang w:eastAsia="tr-TR"/>
        </w:rPr>
      </w:pPr>
      <w:r w:rsidRPr="00AC381D">
        <w:rPr>
          <w:rFonts w:ascii="Times New Roman" w:hAnsi="Times New Roman" w:cs="Times New Roman"/>
          <w:sz w:val="24"/>
          <w:szCs w:val="24"/>
        </w:rPr>
        <w:t xml:space="preserve">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BİRİNCİ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Amaç, Kapsam, Dayanak ve Tanımlar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Amaç ve kapsam</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w:t>
      </w:r>
      <w:r w:rsidRPr="00AC381D">
        <w:rPr>
          <w:rFonts w:ascii="Times New Roman" w:hAnsi="Times New Roman" w:cs="Times New Roman"/>
          <w:sz w:val="24"/>
          <w:szCs w:val="24"/>
        </w:rPr>
        <w:t xml:space="preserve"> – (1) Bu Yönetmeliğin amacı, Yüksek Hakem Kurulunun çalışma usul ve esaslarını; Yüksek Hakem Kurulunun başkan ve üyeleri ile bu Kurulda görevlendirilecek uzman ve </w:t>
      </w:r>
      <w:proofErr w:type="gramStart"/>
      <w:r w:rsidRPr="00AC381D">
        <w:rPr>
          <w:rFonts w:ascii="Times New Roman" w:hAnsi="Times New Roman" w:cs="Times New Roman"/>
          <w:sz w:val="24"/>
          <w:szCs w:val="24"/>
        </w:rPr>
        <w:t>raportörlere</w:t>
      </w:r>
      <w:proofErr w:type="gramEnd"/>
      <w:r w:rsidRPr="00AC381D">
        <w:rPr>
          <w:rFonts w:ascii="Times New Roman" w:hAnsi="Times New Roman" w:cs="Times New Roman"/>
          <w:sz w:val="24"/>
          <w:szCs w:val="24"/>
        </w:rPr>
        <w:t xml:space="preserve"> ödenecek tazminatları; bilirkişi ve tanıklara verilecek ücretleri ve toplu çıkar uyuşmazlıklarında özel hakem incelemesinde uygulanacak hükümleri; arabulucuların nitelikleri, seçimi, ücretleri, görevlendirilmeleri ve çalışmalarında uygulanacak usul ile ilgili hususları düzenlemektir.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Dayanak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w:t>
      </w:r>
      <w:r w:rsidRPr="00AC381D">
        <w:rPr>
          <w:rFonts w:ascii="Times New Roman" w:hAnsi="Times New Roman" w:cs="Times New Roman"/>
          <w:sz w:val="24"/>
          <w:szCs w:val="24"/>
        </w:rPr>
        <w:t xml:space="preserve"> – (1) Bu Yönetmelik, </w:t>
      </w:r>
      <w:proofErr w:type="gramStart"/>
      <w:r w:rsidRPr="00AC381D">
        <w:rPr>
          <w:rFonts w:ascii="Times New Roman" w:hAnsi="Times New Roman" w:cs="Times New Roman"/>
          <w:sz w:val="24"/>
          <w:szCs w:val="24"/>
        </w:rPr>
        <w:t>18/10/2012</w:t>
      </w:r>
      <w:proofErr w:type="gramEnd"/>
      <w:r w:rsidRPr="00AC381D">
        <w:rPr>
          <w:rFonts w:ascii="Times New Roman" w:hAnsi="Times New Roman" w:cs="Times New Roman"/>
          <w:sz w:val="24"/>
          <w:szCs w:val="24"/>
        </w:rPr>
        <w:t xml:space="preserve"> tarihli ve 6356 sayılı Sendikalar ve Toplu İş Sözleşmesi Kanununun 57 </w:t>
      </w:r>
      <w:proofErr w:type="spellStart"/>
      <w:r w:rsidRPr="00AC381D">
        <w:rPr>
          <w:rFonts w:ascii="Times New Roman" w:hAnsi="Times New Roman" w:cs="Times New Roman"/>
          <w:sz w:val="24"/>
          <w:szCs w:val="24"/>
        </w:rPr>
        <w:t>nci</w:t>
      </w:r>
      <w:proofErr w:type="spellEnd"/>
      <w:r w:rsidRPr="00AC381D">
        <w:rPr>
          <w:rFonts w:ascii="Times New Roman" w:hAnsi="Times New Roman" w:cs="Times New Roman"/>
          <w:sz w:val="24"/>
          <w:szCs w:val="24"/>
        </w:rPr>
        <w:t xml:space="preserve"> maddesine dayanılarak hazırlanmıştır.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Tanımlar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3</w:t>
      </w:r>
      <w:r w:rsidRPr="00AC381D">
        <w:rPr>
          <w:rFonts w:ascii="Times New Roman" w:hAnsi="Times New Roman" w:cs="Times New Roman"/>
          <w:sz w:val="24"/>
          <w:szCs w:val="24"/>
        </w:rPr>
        <w:t xml:space="preserve"> – (1) Bu Yönetmelikte geçen;</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a) Arabulucu: Toplu görüşmelerin uyuşmazlıkla sonuçlanması üzerine, Seçici Kurulca belirlenerek Resmî </w:t>
      </w:r>
      <w:proofErr w:type="spellStart"/>
      <w:r w:rsidRPr="00AC381D">
        <w:rPr>
          <w:rFonts w:ascii="Times New Roman" w:hAnsi="Times New Roman" w:cs="Times New Roman"/>
          <w:sz w:val="24"/>
          <w:szCs w:val="24"/>
        </w:rPr>
        <w:t>Gazete’de</w:t>
      </w:r>
      <w:proofErr w:type="spellEnd"/>
      <w:r w:rsidRPr="00AC381D">
        <w:rPr>
          <w:rFonts w:ascii="Times New Roman" w:hAnsi="Times New Roman" w:cs="Times New Roman"/>
          <w:sz w:val="24"/>
          <w:szCs w:val="24"/>
        </w:rPr>
        <w:t xml:space="preserve"> yayımlanan listeden görevli makamca görevlendirilen ve tarafların anlaşmaya varması için her türlü çabayı harcayarak ilgililere önerilerde bulunan kişiyi,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b) Bakanlık: Çalışma ve Sosyal Güvenlik Bakanlığını,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c) Emanetler hesabı: </w:t>
      </w:r>
      <w:proofErr w:type="gramStart"/>
      <w:r w:rsidRPr="00AC381D">
        <w:rPr>
          <w:rFonts w:ascii="Times New Roman" w:hAnsi="Times New Roman" w:cs="Times New Roman"/>
          <w:sz w:val="24"/>
          <w:szCs w:val="24"/>
        </w:rPr>
        <w:t>30/12/2006</w:t>
      </w:r>
      <w:proofErr w:type="gramEnd"/>
      <w:r w:rsidRPr="00AC381D">
        <w:rPr>
          <w:rFonts w:ascii="Times New Roman" w:hAnsi="Times New Roman" w:cs="Times New Roman"/>
          <w:sz w:val="24"/>
          <w:szCs w:val="24"/>
        </w:rPr>
        <w:t xml:space="preserve"> tarihli ve 26392 üçüncü mükerrer sayılı Resmî </w:t>
      </w:r>
      <w:proofErr w:type="spellStart"/>
      <w:r w:rsidRPr="00AC381D">
        <w:rPr>
          <w:rFonts w:ascii="Times New Roman" w:hAnsi="Times New Roman" w:cs="Times New Roman"/>
          <w:sz w:val="24"/>
          <w:szCs w:val="24"/>
        </w:rPr>
        <w:t>Gazete’de</w:t>
      </w:r>
      <w:proofErr w:type="spellEnd"/>
      <w:r w:rsidRPr="00AC381D">
        <w:rPr>
          <w:rFonts w:ascii="Times New Roman" w:hAnsi="Times New Roman" w:cs="Times New Roman"/>
          <w:sz w:val="24"/>
          <w:szCs w:val="24"/>
        </w:rPr>
        <w:t xml:space="preserve"> yayımlanan Merkezi Yönetim Muhasebe Yönetmeliğinde tanımlanan hesabı,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ç) Genel Müdürlük: Çalışma Genel Müdürlüğünü,</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d) Genel Sekreter: Yüksek Hakem Kurulu Genel Sekreterini,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e) Gider payı: Görevli makamca belirlenen arabulucu ücretinden yüzde yedi oranında kesilen tutarı,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proofErr w:type="gramStart"/>
      <w:r w:rsidRPr="00AC381D">
        <w:rPr>
          <w:rFonts w:ascii="Times New Roman" w:hAnsi="Times New Roman" w:cs="Times New Roman"/>
          <w:sz w:val="24"/>
          <w:szCs w:val="24"/>
        </w:rPr>
        <w:t>f) Görevli makam: İşyeri toplu iş sözleşmesi için işyerinin, işletme toplu iş sözleşmesi için işletme merkezinin bağlı bulunduğu Çalışma ve İş Kurumu İl Müdürlüğünü, aynı Çalışma ve İş Kurumu İl Müdürlüğünün yetki alanına giren işyerleri için yapılacak grup toplu iş sözleşmelerinde bu işyerlerinin bağlı bulunduğu Çalışma ve İş Kurumu İl Müdürlüğünü, birden fazla Çalışma ve İş Kurumu İl Müdürlüğünün yetki alanına giren işyerlerini kapsayacak grup toplu iş sözleşmesi için ise Bakanlığı,</w:t>
      </w:r>
      <w:proofErr w:type="gramEnd"/>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g) Kurul: Yüksek Hakem Kurulunu,</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ğ)</w:t>
      </w:r>
      <w:r w:rsidRPr="00AC381D">
        <w:rPr>
          <w:rFonts w:ascii="Times New Roman" w:hAnsi="Times New Roman" w:cs="Times New Roman"/>
          <w:b/>
          <w:bCs/>
          <w:sz w:val="24"/>
          <w:szCs w:val="24"/>
        </w:rPr>
        <w:t>(</w:t>
      </w:r>
      <w:proofErr w:type="gramStart"/>
      <w:r w:rsidRPr="00AC381D">
        <w:rPr>
          <w:rFonts w:ascii="Times New Roman" w:hAnsi="Times New Roman" w:cs="Times New Roman"/>
          <w:b/>
          <w:bCs/>
          <w:sz w:val="24"/>
          <w:szCs w:val="24"/>
        </w:rPr>
        <w:t>Değişik:RG</w:t>
      </w:r>
      <w:proofErr w:type="gramEnd"/>
      <w:r w:rsidRPr="00AC381D">
        <w:rPr>
          <w:rFonts w:ascii="Times New Roman" w:hAnsi="Times New Roman" w:cs="Times New Roman"/>
          <w:b/>
          <w:bCs/>
          <w:sz w:val="24"/>
          <w:szCs w:val="24"/>
        </w:rPr>
        <w:t>-4/3/2016-29643)</w:t>
      </w:r>
      <w:r w:rsidRPr="00AC381D">
        <w:rPr>
          <w:rFonts w:ascii="Times New Roman" w:hAnsi="Times New Roman" w:cs="Times New Roman"/>
          <w:sz w:val="24"/>
          <w:szCs w:val="24"/>
        </w:rPr>
        <w:t xml:space="preserve"> Kurul Başkanı: </w:t>
      </w:r>
      <w:proofErr w:type="spellStart"/>
      <w:r w:rsidRPr="00AC381D">
        <w:rPr>
          <w:rFonts w:ascii="Times New Roman" w:hAnsi="Times New Roman" w:cs="Times New Roman"/>
          <w:sz w:val="24"/>
          <w:szCs w:val="24"/>
        </w:rPr>
        <w:t>Yargıtayın</w:t>
      </w:r>
      <w:proofErr w:type="spellEnd"/>
      <w:r w:rsidRPr="00AC381D">
        <w:rPr>
          <w:rFonts w:ascii="Times New Roman" w:hAnsi="Times New Roman" w:cs="Times New Roman"/>
          <w:sz w:val="24"/>
          <w:szCs w:val="24"/>
        </w:rPr>
        <w:t xml:space="preserve"> 6356 sayılı Sendikalar ve Toplu İş Sözleşmesi Kanunundan doğan uyuşmazlıklara bakmakla görevli dairelerinin başkanlarından fiilen en fazla başkanlık yapanın başkanlığında oluşan Kurul başkanını,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h) Muhasebe Birimi: Bakanlık Merkez Muhasebe Birimini,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ı) Seçici Kurul: Başvuruları inceleyerek gerekli nitelikleri taşıyanlar arasından arabulucuları belirleyen Kurulu,</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proofErr w:type="gramStart"/>
      <w:r w:rsidRPr="00AC381D">
        <w:rPr>
          <w:rFonts w:ascii="Times New Roman" w:hAnsi="Times New Roman" w:cs="Times New Roman"/>
          <w:sz w:val="24"/>
          <w:szCs w:val="24"/>
        </w:rPr>
        <w:t>ifade</w:t>
      </w:r>
      <w:proofErr w:type="gramEnd"/>
      <w:r w:rsidRPr="00AC381D">
        <w:rPr>
          <w:rFonts w:ascii="Times New Roman" w:hAnsi="Times New Roman" w:cs="Times New Roman"/>
          <w:sz w:val="24"/>
          <w:szCs w:val="24"/>
        </w:rPr>
        <w:t xml:space="preserve">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İKİNCİ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Arabuluculuk Sistemi ve İşleyişi, Arabulucuların Seçimi,</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Görev ve Sorumlulukları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Arabuluculuk Sistemi ve Genel Müdürlüğün görevleri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4</w:t>
      </w:r>
      <w:r w:rsidRPr="00AC381D">
        <w:rPr>
          <w:rFonts w:ascii="Times New Roman" w:hAnsi="Times New Roman" w:cs="Times New Roman"/>
          <w:sz w:val="24"/>
          <w:szCs w:val="24"/>
        </w:rPr>
        <w:t xml:space="preserve"> – (1) Arabuluculuk Sistemi; Genel Müdürlük, Seçici Kurul ve arabuluculardan oluşur.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(2) Genel Müdürlük, bu Yönetmelikte belirtilen görevleri yerine getirir; Seçici Kurulun </w:t>
      </w:r>
      <w:proofErr w:type="gramStart"/>
      <w:r w:rsidRPr="00AC381D">
        <w:rPr>
          <w:rFonts w:ascii="Times New Roman" w:hAnsi="Times New Roman" w:cs="Times New Roman"/>
          <w:sz w:val="24"/>
          <w:szCs w:val="24"/>
        </w:rPr>
        <w:t>raportörlük</w:t>
      </w:r>
      <w:proofErr w:type="gramEnd"/>
      <w:r w:rsidRPr="00AC381D">
        <w:rPr>
          <w:rFonts w:ascii="Times New Roman" w:hAnsi="Times New Roman" w:cs="Times New Roman"/>
          <w:sz w:val="24"/>
          <w:szCs w:val="24"/>
        </w:rPr>
        <w:t xml:space="preserve"> hizmetlerini ve diğer büro hizmetlerini yürütür.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Seçici Kurul</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5</w:t>
      </w:r>
      <w:r w:rsidRPr="00AC381D">
        <w:rPr>
          <w:rFonts w:ascii="Times New Roman" w:hAnsi="Times New Roman" w:cs="Times New Roman"/>
          <w:sz w:val="24"/>
          <w:szCs w:val="24"/>
        </w:rPr>
        <w:t xml:space="preserve"> – (1) Arabuluculuk yapabilecek olanlar Seçici Kurulca belirlenir.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Seçici Kurul, Çalışma ve Sosyal Güvenlik Bakanının başkanlığında;</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a) Müsteşar veya müsteşar yardımcısı,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b) Çalışma Genel Müdürü,</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c) Üniversitelerin iş ve sosyal güvenlik hukuku anabilim dalı ile çalışma ekonomisi ve endüstri ilişkileri bölümü öğretim üyeleri arasından Yükseköğretim Kurulunca seçilen bir üye,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ç) En çok üyeye sahip ilk iki işçi sendikaları konfederasyonu yönetim kurullarınca seçilen birer üye,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d) En çok üyeye sahip işveren sendikaları konfederasyonu yönetim kurulunca biri kamu işverenlerinden olmak üzere seçilen iki üye,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proofErr w:type="gramStart"/>
      <w:r w:rsidRPr="00AC381D">
        <w:rPr>
          <w:rFonts w:ascii="Times New Roman" w:hAnsi="Times New Roman" w:cs="Times New Roman"/>
          <w:sz w:val="24"/>
          <w:szCs w:val="24"/>
        </w:rPr>
        <w:t>ile</w:t>
      </w:r>
      <w:proofErr w:type="gramEnd"/>
      <w:r w:rsidRPr="00AC381D">
        <w:rPr>
          <w:rFonts w:ascii="Times New Roman" w:hAnsi="Times New Roman" w:cs="Times New Roman"/>
          <w:sz w:val="24"/>
          <w:szCs w:val="24"/>
        </w:rPr>
        <w:t xml:space="preserve"> oluşur.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(3) Seçimle gelen üyelerin görev süreleri üç yıldır. Bu üyeler yeniden seçilebilir. Her bir üye için iki yedek üye seçilir.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Herhangi bir nedenle görevi sona eren üyenin yerine seçilen üye kalan süreyi tamamlar.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(5) Bakanın toplantıya katılmaması halinde, Seçici Kurula, Müsteşar veya müsteşar yardımcısı başkanlık eder. Seçici Kurul üyelerinin izinli veya mazeretli olmaları halinde, toplantıya bu makama vekâlet edenler ya da yedek üyeler katılır.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Seçici Kurulun toplanması ve kararlar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6</w:t>
      </w:r>
      <w:r w:rsidRPr="00AC381D">
        <w:rPr>
          <w:rFonts w:ascii="Times New Roman" w:hAnsi="Times New Roman" w:cs="Times New Roman"/>
          <w:sz w:val="24"/>
          <w:szCs w:val="24"/>
        </w:rPr>
        <w:t xml:space="preserve"> – (1) Seçici Kurul, Bakanlıkça yapılan çağrı üzerine toplanır. Toplantının yer, gün ve saati, toplantı tarihinden en geç üç iş günü önce üyelere bildirilir.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Seçici Kurul, Başkan dışında en az beş üyenin katılımıyla toplanır. Kararlar oy çokluğuyla alınır. Oyların eşitliği halinde, Başkanın bulunduğu taraf çoğunluğu sağlamış sayılır. Kararlar, karar defterine yazılarak Başkan ve üyelerce imzalanır.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Arabulucuların nitelikleri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7</w:t>
      </w:r>
      <w:r w:rsidRPr="00AC381D">
        <w:rPr>
          <w:rFonts w:ascii="Times New Roman" w:hAnsi="Times New Roman" w:cs="Times New Roman"/>
          <w:sz w:val="24"/>
          <w:szCs w:val="24"/>
        </w:rPr>
        <w:t xml:space="preserve"> – (1) Arabulucularda aşağıdaki nitelikler aranır: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a) Türk vatandaşı olmak.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b) Medeni ve siyasi hakları kullanma ehliyetine sahip olmak.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c) </w:t>
      </w:r>
      <w:proofErr w:type="gramStart"/>
      <w:r w:rsidRPr="00AC381D">
        <w:rPr>
          <w:rFonts w:ascii="Times New Roman" w:hAnsi="Times New Roman" w:cs="Times New Roman"/>
          <w:sz w:val="24"/>
          <w:szCs w:val="24"/>
        </w:rPr>
        <w:t>14/7/1965</w:t>
      </w:r>
      <w:proofErr w:type="gramEnd"/>
      <w:r w:rsidRPr="00AC381D">
        <w:rPr>
          <w:rFonts w:ascii="Times New Roman" w:hAnsi="Times New Roman" w:cs="Times New Roman"/>
          <w:sz w:val="24"/>
          <w:szCs w:val="24"/>
        </w:rPr>
        <w:t xml:space="preserve"> tarihli ve 657 sayılı Devlet Memurları Kanununun 48 inci maddesinin birinci fıkrasının (A) bendinin (5) numaralı alt bendinde öngörülen genel koşulları taşımak.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ç) Siyasi parti organlarında görevli olmamak.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d) Sendika şubesi, sendika ve konfederasyonlarda herhangi bir suretle görevli bulunmamak.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e) Yükseköğretim Kanunu hükümleri saklı kalmak kaydıyla, kamu kurum ve kuruluşlarında görevli bulunmamak.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proofErr w:type="gramStart"/>
      <w:r w:rsidRPr="00AC381D">
        <w:rPr>
          <w:rFonts w:ascii="Times New Roman" w:hAnsi="Times New Roman" w:cs="Times New Roman"/>
          <w:sz w:val="24"/>
          <w:szCs w:val="24"/>
        </w:rPr>
        <w:t>f) Hukuk, çalışma ekonomisi ve endüstri ilişkileri, maliye, iktisat ve işletme öğrenimi yapılan en az dört yıllık bir yükseköğretim kurumunu bitirmiş ve işçi-işveren ilişkileri alanında en az beş yıl çalışmış veya diğer yükseköğretim kurumlarını bitirmiş ve kamu kurum ve kuruluşlarında en az on yıl iş hukukuyla ilgili görevlerde çalışmış olmak.</w:t>
      </w:r>
      <w:proofErr w:type="gramEnd"/>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Arabulucuların seçimi ve ilanı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8</w:t>
      </w:r>
      <w:r w:rsidRPr="00AC381D">
        <w:rPr>
          <w:rFonts w:ascii="Times New Roman" w:hAnsi="Times New Roman" w:cs="Times New Roman"/>
          <w:sz w:val="24"/>
          <w:szCs w:val="24"/>
        </w:rPr>
        <w:t xml:space="preserve"> – (1) Seçici Kurul, görev yapacak arabulucu sayısı ile görev alanı ve görev alanını kapsayan il veya illeri önceden belirler; bu sayıyı ihtiyaca göre değiştirebilir.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Genel Müdürlük, bu Yönetmelik gereğince arabulucularda aranan nitelikleri, Seçici Kurula yapılacak başvuruların şeklini, son başvuru tarihini ve seçilecek arabulucu sayısını seçim tarihinden en az bir ay önce Bakanlık internet sitesinden ilan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 xml:space="preserve">(3) Seçici Kurul, başvuruları inceler ve Aralık ayı içinde arabulucu seçimini yapar. Seçilen arabulucuların listesi Resmî </w:t>
      </w:r>
      <w:proofErr w:type="spellStart"/>
      <w:r w:rsidRPr="00AC381D">
        <w:rPr>
          <w:rFonts w:ascii="Times New Roman" w:hAnsi="Times New Roman" w:cs="Times New Roman"/>
          <w:sz w:val="24"/>
          <w:szCs w:val="24"/>
        </w:rPr>
        <w:t>Gazete’de</w:t>
      </w:r>
      <w:proofErr w:type="spellEnd"/>
      <w:r w:rsidRPr="00AC381D">
        <w:rPr>
          <w:rFonts w:ascii="Times New Roman" w:hAnsi="Times New Roman" w:cs="Times New Roman"/>
          <w:sz w:val="24"/>
          <w:szCs w:val="24"/>
        </w:rPr>
        <w:t xml:space="preserve"> ilan edilir ve Çalışma ve İş Kurumu İl Müdürlüklerine bildirilir. Arabulucular, seçildikleri ayın son iş günü göreve başlamış sayılır.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Arabulucular, tercihleri dikkate alınarak en çok iki görev alanı il ya da iller için seçilir. Ancak istek olmayan görev alanı il ya da iller için diğer görev alanlarına yapılan başvurular arasından Seçici Kurulca resen görevlendirme yapılabilir.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(5) Arabulucuların görev süresi üç yıldır; istekleri halinde yeniden seçilmeleri mümkündür.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Arabulucuların görevlendirilmesi ve çalışma esasları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9</w:t>
      </w:r>
      <w:r w:rsidRPr="00AC381D">
        <w:rPr>
          <w:rFonts w:ascii="Times New Roman" w:hAnsi="Times New Roman" w:cs="Times New Roman"/>
          <w:sz w:val="24"/>
          <w:szCs w:val="24"/>
        </w:rPr>
        <w:t xml:space="preserve"> – (1) Görevli makam; her iki tarafın arabulucuyu belirlemek için yapılan toplantıya gelmesi halinde üzerinde anlaşılan arabulucuyu, her iki tarafın anlaşamaması veya taraflardan biri ya da her iki tarafın toplantıya gelmemesi halinde, 8 inci maddenin üçüncü fıkrasında belirtilen listeden bir arabulucuyu sırasıyla görevlendirir.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Arabuluculuk görevi, görevli makamca arabulucuya yapılacak bildirim tarihinden itibaren başlar ve on beş gün sürer. Bu süre tarafların anlaşması ile en çok altı iş günü uzatılabilir ve görevli makama bildirilir.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Arabulucu, tarafları ayrı ayrı veya birlikte toplantıya çağırmak üzere bir davet yazısı düzenler ve taraflara tebliğ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Arabulucu, tarafları görevli makamın bulunduğu Çalışma ve İş Kurumu İl Müdürlüğünde ya da tarafsız bir yerde bir araya getirmeye özen gösterir.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(5) Arabulucu, görev süresi içerisinde tarafları mümkün olan en fazla sayıda bir araya getirmeye gayret eder. İlk toplantıda belirlenen uyuşmazlık konuları üzerinde her iki tarafın taleplerine uygun çözüm önerileri geliştirir ve taraflara sunar. Yapılan her toplantı sonucunda üzerinde anlaşma sağlanan veya sağlanamayan hususlar toplantıya katılanlarca düzenlenecek bir tutanakla açıkça belirtilir.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(6) Arabulucu, Ek-1’de yer alan Arabulucu Raporunu düzenler ve beşinci fıkrada belirtilen tutanaklarla birlikte üç iş günü içinde görevli makama tevdi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(7) Görev alanı ilde, görevden ayrılma ya da herhangi bir mazeret dolayısıyla görev yapacak arabulucu kalmamışsa, durum Çalışma ve İş Kurumu İl Müdürlüğünce derhal Bakanlığa bildirilir. Bakanlık, üç iş günü içerisinde resen görevlendirme yapar.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(8) Niteliklerini kaybedenlerin arabuluculuğu kendiliğinden sona erer. Gerekli nitelikleri taşımadığı halde veya niteliklerini kaybetmesine rağmen arabulucu olarak görevlendirilenler ise, tebliğ tarihinden itibaren üç iş günü içinde görevi iade etmek üzere görevli makama başvurur.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Arabulucuların görevlendirilemeyeceği uyuşmazlıklar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10 –</w:t>
      </w:r>
      <w:r w:rsidRPr="00AC381D">
        <w:rPr>
          <w:rFonts w:ascii="Times New Roman" w:hAnsi="Times New Roman" w:cs="Times New Roman"/>
          <w:sz w:val="24"/>
          <w:szCs w:val="24"/>
        </w:rPr>
        <w:t xml:space="preserve"> (1) Toplu çıkar uyuşmazlıklarında, işveren veya işverene ait işyerlerinde görevli olanlar arabuluculuk yapamaz.</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ÜÇÜNCÜ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Arabulucu Ücretinin Tespiti ve Ödenmesi ile Hesapların Kullanılması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Arabulucu ücretinin tespiti ve ödenmesi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11</w:t>
      </w:r>
      <w:r w:rsidRPr="00AC381D">
        <w:rPr>
          <w:rFonts w:ascii="Times New Roman" w:hAnsi="Times New Roman" w:cs="Times New Roman"/>
          <w:sz w:val="24"/>
          <w:szCs w:val="24"/>
        </w:rPr>
        <w:t xml:space="preserve"> – (1) Arabulucu ücreti; görevli makam tarafından, Ek-2’de yer alan Arabulucu Ücretleri Cetvelinde toplu iş sözleşmesi kapsamındaki işyeri veya işyerlerinde çalışan işçi sayısına göre belirlenen gösterge rakamının, memur aylık katsayısıyla çarpımı suretiyle hesaplanır.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Görevlendirilen arabulucu ve belirlenen ücret, görevli makamca arabulucuya, taraflara ve Bakanlığa bildirilir.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Taraflar, bu maddenin ikinci fıkrasına göre yapılan bildirimden itibaren en geç üç iş günü içinde, belirlenen ücreti Muhasebe Biriminin ya da illerde defterdarlık muhasebe müdürlüğünün, ilçelerde ise mal müdürlüğünün kasa veya banka hesabına eşit olarak yatırarak ödeme bilgilerini Genel Müdürlüğe gönderir.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Muhasebe Birimi, görevli makamca belirlenen ücretten yüzde yedi oranında gider payı keserek emanetler hesabına aktarır ve üçüncü fıkraya göre yatırılan tutardan hesaplanan gider payı ile geriye kalan tutarı ayrı ayrı izler.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(5) Görevli makamca arabulucunun görevinin sona erdiğinin Bakanlığa bildirilmesi üzerine, tarafların hesaba yatırdıkları tutardan vergiler ve gider payı kesildikten sonra kalan miktar arabulucunun hesabına aktarılır.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(6) İkamet ettiği il dışında görevlendirilen arabulucuya, </w:t>
      </w:r>
      <w:proofErr w:type="gramStart"/>
      <w:r w:rsidRPr="00AC381D">
        <w:rPr>
          <w:rFonts w:ascii="Times New Roman" w:hAnsi="Times New Roman" w:cs="Times New Roman"/>
          <w:sz w:val="24"/>
          <w:szCs w:val="24"/>
        </w:rPr>
        <w:t>10/2/1954</w:t>
      </w:r>
      <w:proofErr w:type="gramEnd"/>
      <w:r w:rsidRPr="00AC381D">
        <w:rPr>
          <w:rFonts w:ascii="Times New Roman" w:hAnsi="Times New Roman" w:cs="Times New Roman"/>
          <w:sz w:val="24"/>
          <w:szCs w:val="24"/>
        </w:rPr>
        <w:t xml:space="preserve"> tarihli ve 6245 sayılı Harcırah Kanunu hükümlerine göre harcırah ödenir.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(7) Kanuni grev kararı alınan bir uyuşmazlıkta Çalışma ve Sosyal Güvenlik Bakanının görevlendireceği arabulucunun ücreti, Bakanlıkça gider payı hesabından Ek-2’de yer alan Arabulucu Ücretleri Cetvelindeki göstergeye göre ödenir.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Emanetler hesabının kullanılması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12</w:t>
      </w:r>
      <w:r w:rsidRPr="00AC381D">
        <w:rPr>
          <w:rFonts w:ascii="Times New Roman" w:hAnsi="Times New Roman" w:cs="Times New Roman"/>
          <w:sz w:val="24"/>
          <w:szCs w:val="24"/>
        </w:rPr>
        <w:t xml:space="preserve"> – (1) Muhasebe Biriminin banka hesabından emanetler hesabına aktarılan gider payına ilişkin tutar, 11 inci maddenin altıncı ve yedinci fıkralarında belirtilen ödemelerin karşılanmasında kullanılır.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Emanetler hesabından yapılacak harcamalar; Çalışma Genel Müdürü, ilgili Çalışma Genel Müdür Yardımcısı ve Daire Başkanından ikisinin imzası ile Muhasebe Birimine verilecek talimatla gerçekleştirilir.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Ödemeler, harcamanın çeşidine göre Merkezi Yönetim Harcama Belgeleri Yönetmeliğinde belirtilen belgelere göre yapılır.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Muhasebe Birimi tarafından bu Yönetmelik gereğince emanetler hesabına alınan tutara ve bu hesaptan yapılan harcamalara ilişkin bilgiler aylık olarak Bakanlığa bildirilir.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DÖRDÜNCÜ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Yüksek Hakem Kurulunun Çalışma Usul ve Esasları ile</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Ödenecek Tazminat ve Ücretler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Genel Sekreterlik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13</w:t>
      </w:r>
      <w:r w:rsidRPr="00AC381D">
        <w:rPr>
          <w:rFonts w:ascii="Times New Roman" w:hAnsi="Times New Roman" w:cs="Times New Roman"/>
          <w:sz w:val="24"/>
          <w:szCs w:val="24"/>
        </w:rPr>
        <w:t xml:space="preserve"> – (1) Kurulun yazışma ve uzmanlık hizmetleri, Kurul Başkanına bağlı Genel Sekreterlikçe yürütülür. Genel Sekreter, Kurul Başkanının önerisi üzerine genel usullere göre atanır.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(2) Uzman ve </w:t>
      </w:r>
      <w:proofErr w:type="gramStart"/>
      <w:r w:rsidRPr="00AC381D">
        <w:rPr>
          <w:rFonts w:ascii="Times New Roman" w:hAnsi="Times New Roman" w:cs="Times New Roman"/>
          <w:sz w:val="24"/>
          <w:szCs w:val="24"/>
        </w:rPr>
        <w:t>raportör</w:t>
      </w:r>
      <w:proofErr w:type="gramEnd"/>
      <w:r w:rsidRPr="00AC381D">
        <w:rPr>
          <w:rFonts w:ascii="Times New Roman" w:hAnsi="Times New Roman" w:cs="Times New Roman"/>
          <w:sz w:val="24"/>
          <w:szCs w:val="24"/>
        </w:rPr>
        <w:t xml:space="preserve"> talepleri Kurul tarafından Başbakanlığa bildirilir. Başbakanlık, yeteri kadar uzman ve </w:t>
      </w:r>
      <w:proofErr w:type="gramStart"/>
      <w:r w:rsidRPr="00AC381D">
        <w:rPr>
          <w:rFonts w:ascii="Times New Roman" w:hAnsi="Times New Roman" w:cs="Times New Roman"/>
          <w:sz w:val="24"/>
          <w:szCs w:val="24"/>
        </w:rPr>
        <w:t>raportör</w:t>
      </w:r>
      <w:proofErr w:type="gramEnd"/>
      <w:r w:rsidRPr="00AC381D">
        <w:rPr>
          <w:rFonts w:ascii="Times New Roman" w:hAnsi="Times New Roman" w:cs="Times New Roman"/>
          <w:sz w:val="24"/>
          <w:szCs w:val="24"/>
        </w:rPr>
        <w:t xml:space="preserve"> belirleyerek Kurula atar veya görevlendirir.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(3) İşçi ve işveren kuruluşlarında çalışmakta olanlar, Kurulda uzman ve </w:t>
      </w:r>
      <w:proofErr w:type="gramStart"/>
      <w:r w:rsidRPr="00AC381D">
        <w:rPr>
          <w:rFonts w:ascii="Times New Roman" w:hAnsi="Times New Roman" w:cs="Times New Roman"/>
          <w:sz w:val="24"/>
          <w:szCs w:val="24"/>
        </w:rPr>
        <w:t>raportör</w:t>
      </w:r>
      <w:proofErr w:type="gramEnd"/>
      <w:r w:rsidRPr="00AC381D">
        <w:rPr>
          <w:rFonts w:ascii="Times New Roman" w:hAnsi="Times New Roman" w:cs="Times New Roman"/>
          <w:sz w:val="24"/>
          <w:szCs w:val="24"/>
        </w:rPr>
        <w:t xml:space="preserve"> olarak görevlendirilemez.</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Genel Sekreterin görev ve sorumluluğu</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14</w:t>
      </w:r>
      <w:r w:rsidRPr="00AC381D">
        <w:rPr>
          <w:rFonts w:ascii="Times New Roman" w:hAnsi="Times New Roman" w:cs="Times New Roman"/>
          <w:sz w:val="24"/>
          <w:szCs w:val="24"/>
        </w:rPr>
        <w:t xml:space="preserve"> – (1) Genel Sekreter, bu Yönetmelikte belirtilen görevleri yerine getirir; başvuruların uzman ve </w:t>
      </w:r>
      <w:proofErr w:type="gramStart"/>
      <w:r w:rsidRPr="00AC381D">
        <w:rPr>
          <w:rFonts w:ascii="Times New Roman" w:hAnsi="Times New Roman" w:cs="Times New Roman"/>
          <w:sz w:val="24"/>
          <w:szCs w:val="24"/>
        </w:rPr>
        <w:t>raportörlerce</w:t>
      </w:r>
      <w:proofErr w:type="gramEnd"/>
      <w:r w:rsidRPr="00AC381D">
        <w:rPr>
          <w:rFonts w:ascii="Times New Roman" w:hAnsi="Times New Roman" w:cs="Times New Roman"/>
          <w:sz w:val="24"/>
          <w:szCs w:val="24"/>
        </w:rPr>
        <w:t xml:space="preserve"> süresi içerisinde incelenmesini, kararların ve yazıların taraflara ve ilgililere geciktirilmeksizin gönderilmesini sağlar; personelin devam ve çalışmasını izler. Ayrıca, Kurul Başkanının görev vermesi halinde uzman ve </w:t>
      </w:r>
      <w:proofErr w:type="gramStart"/>
      <w:r w:rsidRPr="00AC381D">
        <w:rPr>
          <w:rFonts w:ascii="Times New Roman" w:hAnsi="Times New Roman" w:cs="Times New Roman"/>
          <w:sz w:val="24"/>
          <w:szCs w:val="24"/>
        </w:rPr>
        <w:t>raportör</w:t>
      </w:r>
      <w:proofErr w:type="gramEnd"/>
      <w:r w:rsidRPr="00AC381D">
        <w:rPr>
          <w:rFonts w:ascii="Times New Roman" w:hAnsi="Times New Roman" w:cs="Times New Roman"/>
          <w:sz w:val="24"/>
          <w:szCs w:val="24"/>
        </w:rPr>
        <w:t xml:space="preserve"> olarak inceleme yapar.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Genel Sekreter, görevlerinden dolayı Kurul Başkanına karşı sorumludur.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İmza yetkisi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15</w:t>
      </w:r>
      <w:r w:rsidRPr="00AC381D">
        <w:rPr>
          <w:rFonts w:ascii="Times New Roman" w:hAnsi="Times New Roman" w:cs="Times New Roman"/>
          <w:sz w:val="24"/>
          <w:szCs w:val="24"/>
        </w:rPr>
        <w:t xml:space="preserve"> – (1) Kuruldan taraflara, ilgili makamlara ve kişilere tebliğ edilecek veya gönderilecek yazılar Kurul Başkanınca, yetki vermesi halinde ise Genel Sekreterce imzalanır.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İdari ve Mali İşler Bürosu</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16</w:t>
      </w:r>
      <w:r w:rsidRPr="00AC381D">
        <w:rPr>
          <w:rFonts w:ascii="Times New Roman" w:hAnsi="Times New Roman" w:cs="Times New Roman"/>
          <w:sz w:val="24"/>
          <w:szCs w:val="24"/>
        </w:rPr>
        <w:t xml:space="preserve"> – (1) Kurulun yazı, kayıt, dosya, arşiv, tazminat ve ücret ödemeleri, Kurulun giderleri ile ilgili gerçekleştirme işlemleri, izin ve diğer büro işleri, İdari ve Mali İşler Bürosunca yürütülür.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Personelin görev ve sorumluluğu</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17</w:t>
      </w:r>
      <w:r w:rsidRPr="00AC381D">
        <w:rPr>
          <w:rFonts w:ascii="Times New Roman" w:hAnsi="Times New Roman" w:cs="Times New Roman"/>
          <w:sz w:val="24"/>
          <w:szCs w:val="24"/>
        </w:rPr>
        <w:t xml:space="preserve"> – (1) Kurulda görevli personel verilen işleri süresi içinde yerine getirmekle yükümlüdür.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Görevliler, Kuruldaki görüşmeler ve tarafların durumlarıyla ilgili bilgileri yetkililer dışında kimseye açıklayamaz. Bu durum, Kuruldaki görevleri sona erdikten sonra da devam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Başvurular üzerine yapılacak işlem ve ön inceleme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18</w:t>
      </w:r>
      <w:r w:rsidRPr="00AC381D">
        <w:rPr>
          <w:rFonts w:ascii="Times New Roman" w:hAnsi="Times New Roman" w:cs="Times New Roman"/>
          <w:sz w:val="24"/>
          <w:szCs w:val="24"/>
        </w:rPr>
        <w:t xml:space="preserve"> – (1) Kurula yapılan başvurular, Kurul Başkanı veya yetki vermesi halinde Genel Sekreterce ön incelemesi yapılmak üzere; iş yoğunluğu, uyuşmazlığın niteliği, kapsamı, işyeri ve işin </w:t>
      </w:r>
      <w:r w:rsidRPr="00AC381D">
        <w:rPr>
          <w:rFonts w:ascii="Times New Roman" w:hAnsi="Times New Roman" w:cs="Times New Roman"/>
          <w:sz w:val="24"/>
          <w:szCs w:val="24"/>
        </w:rPr>
        <w:lastRenderedPageBreak/>
        <w:t xml:space="preserve">özelliği gibi hususlar birlikte değerlendirilerek başvurunun Kurula ulaştığı tarihi takip eden ilk iş günü bir veya birden fazla uzman ve </w:t>
      </w:r>
      <w:proofErr w:type="gramStart"/>
      <w:r w:rsidRPr="00AC381D">
        <w:rPr>
          <w:rFonts w:ascii="Times New Roman" w:hAnsi="Times New Roman" w:cs="Times New Roman"/>
          <w:sz w:val="24"/>
          <w:szCs w:val="24"/>
        </w:rPr>
        <w:t>raportöre</w:t>
      </w:r>
      <w:proofErr w:type="gramEnd"/>
      <w:r w:rsidRPr="00AC381D">
        <w:rPr>
          <w:rFonts w:ascii="Times New Roman" w:hAnsi="Times New Roman" w:cs="Times New Roman"/>
          <w:sz w:val="24"/>
          <w:szCs w:val="24"/>
        </w:rPr>
        <w:t xml:space="preserve"> sırasıyla havale edilir. Sıraya uyulmadan yapılan havaleler için gerekçe belirtilir.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(2) Uzman ve </w:t>
      </w:r>
      <w:proofErr w:type="gramStart"/>
      <w:r w:rsidRPr="00AC381D">
        <w:rPr>
          <w:rFonts w:ascii="Times New Roman" w:hAnsi="Times New Roman" w:cs="Times New Roman"/>
          <w:sz w:val="24"/>
          <w:szCs w:val="24"/>
        </w:rPr>
        <w:t>raportörler</w:t>
      </w:r>
      <w:proofErr w:type="gramEnd"/>
      <w:r w:rsidRPr="00AC381D">
        <w:rPr>
          <w:rFonts w:ascii="Times New Roman" w:hAnsi="Times New Roman" w:cs="Times New Roman"/>
          <w:sz w:val="24"/>
          <w:szCs w:val="24"/>
        </w:rPr>
        <w:t>, kendilerine havale edilen başvuruları, ehliyet, yetki, süre ve mevzuat yönünden inceler ve düzenleyecekleri ön inceleme raporunu kendilerine bildirilen toplantı tarihinden en az iki iş günü önce Genel Sekretere teslim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(3) Uzman ve </w:t>
      </w:r>
      <w:proofErr w:type="gramStart"/>
      <w:r w:rsidRPr="00AC381D">
        <w:rPr>
          <w:rFonts w:ascii="Times New Roman" w:hAnsi="Times New Roman" w:cs="Times New Roman"/>
          <w:sz w:val="24"/>
          <w:szCs w:val="24"/>
        </w:rPr>
        <w:t>raportörler</w:t>
      </w:r>
      <w:proofErr w:type="gramEnd"/>
      <w:r w:rsidRPr="00AC381D">
        <w:rPr>
          <w:rFonts w:ascii="Times New Roman" w:hAnsi="Times New Roman" w:cs="Times New Roman"/>
          <w:sz w:val="24"/>
          <w:szCs w:val="24"/>
        </w:rPr>
        <w:t>, talep edildiğinde Genel Sekreter tarafından belirlenen gün ve saatte ön inceleme raporunu Kurula sunar.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(4) Uzman ve </w:t>
      </w:r>
      <w:proofErr w:type="gramStart"/>
      <w:r w:rsidRPr="00AC381D">
        <w:rPr>
          <w:rFonts w:ascii="Times New Roman" w:hAnsi="Times New Roman" w:cs="Times New Roman"/>
          <w:sz w:val="24"/>
          <w:szCs w:val="24"/>
        </w:rPr>
        <w:t>raportörler</w:t>
      </w:r>
      <w:proofErr w:type="gramEnd"/>
      <w:r w:rsidRPr="00AC381D">
        <w:rPr>
          <w:rFonts w:ascii="Times New Roman" w:hAnsi="Times New Roman" w:cs="Times New Roman"/>
          <w:sz w:val="24"/>
          <w:szCs w:val="24"/>
        </w:rPr>
        <w:t>, ön inceleme sonucu başvuruyu esastan incelemeye başlar. Başvurunun esasa geçilmeden reddi halinde gerekçeli kararı hazırlayarak Kurul üyelerinin imzasına sunar.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Gündemin hazırlanması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19</w:t>
      </w:r>
      <w:r w:rsidRPr="00AC381D">
        <w:rPr>
          <w:rFonts w:ascii="Times New Roman" w:hAnsi="Times New Roman" w:cs="Times New Roman"/>
          <w:sz w:val="24"/>
          <w:szCs w:val="24"/>
        </w:rPr>
        <w:t xml:space="preserve"> – (1) Kurulun gündemi, başvuru sırasına göre Genel Sekreterce hazırlanarak toplantıdan önce Kurul Başkanına sunulur.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Kurul, gündemde değişiklik yapabilir.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Esastan inceleme ve raporun hazırlanması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20</w:t>
      </w:r>
      <w:r w:rsidRPr="00AC381D">
        <w:rPr>
          <w:rFonts w:ascii="Times New Roman" w:hAnsi="Times New Roman" w:cs="Times New Roman"/>
          <w:sz w:val="24"/>
          <w:szCs w:val="24"/>
        </w:rPr>
        <w:t xml:space="preserve"> – (1) İlk inceleme sonunda, Kurulca başvurunun esastan incelenmesine karar verilirse, belirlenen süre içinde işletmenin ve ülkenin içinde bulunduğu ekonomik durum, geçinme endeksleri, fiilen ödenmekte olan ücretler, benzeri işyerlerindeki ücretler, diğer çalışma koşulları ve gelir unsurları, Kurulca karara bağlanan emsal kararlar ile belirlenmiş prensip kararları gibi hususlardan gerekli görülenleri içeren esas rapor, uzman ve </w:t>
      </w:r>
      <w:proofErr w:type="gramStart"/>
      <w:r w:rsidRPr="00AC381D">
        <w:rPr>
          <w:rFonts w:ascii="Times New Roman" w:hAnsi="Times New Roman" w:cs="Times New Roman"/>
          <w:sz w:val="24"/>
          <w:szCs w:val="24"/>
        </w:rPr>
        <w:t>raportörlerce</w:t>
      </w:r>
      <w:proofErr w:type="gramEnd"/>
      <w:r w:rsidRPr="00AC381D">
        <w:rPr>
          <w:rFonts w:ascii="Times New Roman" w:hAnsi="Times New Roman" w:cs="Times New Roman"/>
          <w:sz w:val="24"/>
          <w:szCs w:val="24"/>
        </w:rPr>
        <w:t xml:space="preserve"> hazırlanır.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(2) Hazırlanan rapor, uzman ve </w:t>
      </w:r>
      <w:proofErr w:type="gramStart"/>
      <w:r w:rsidRPr="00AC381D">
        <w:rPr>
          <w:rFonts w:ascii="Times New Roman" w:hAnsi="Times New Roman" w:cs="Times New Roman"/>
          <w:sz w:val="24"/>
          <w:szCs w:val="24"/>
        </w:rPr>
        <w:t>raportörlere</w:t>
      </w:r>
      <w:proofErr w:type="gramEnd"/>
      <w:r w:rsidRPr="00AC381D">
        <w:rPr>
          <w:rFonts w:ascii="Times New Roman" w:hAnsi="Times New Roman" w:cs="Times New Roman"/>
          <w:sz w:val="24"/>
          <w:szCs w:val="24"/>
        </w:rPr>
        <w:t xml:space="preserve"> bildirilen toplantı tarihinden en geç üç iş günü önce Genel Sekretere teslim edilir.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(3) Genel Sekreter tarafından belirlenen gün ve saatte bir veya birden çok uzman ve </w:t>
      </w:r>
      <w:proofErr w:type="gramStart"/>
      <w:r w:rsidRPr="00AC381D">
        <w:rPr>
          <w:rFonts w:ascii="Times New Roman" w:hAnsi="Times New Roman" w:cs="Times New Roman"/>
          <w:sz w:val="24"/>
          <w:szCs w:val="24"/>
        </w:rPr>
        <w:t>raportör</w:t>
      </w:r>
      <w:proofErr w:type="gramEnd"/>
      <w:r w:rsidRPr="00AC381D">
        <w:rPr>
          <w:rFonts w:ascii="Times New Roman" w:hAnsi="Times New Roman" w:cs="Times New Roman"/>
          <w:sz w:val="24"/>
          <w:szCs w:val="24"/>
        </w:rPr>
        <w:t xml:space="preserve"> tarafından esas rapor Kurula sunulur.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Kurul, uyuşmazlığı dosya üzerinde inceler. Gerekli görüldüğü durumlarda taraflar ve ilgililerden uyuşmazlıkla ilgili her türlü bilgi ve belgeyi isteyebilir. Taraflar ve diğer bütün ilgililer, Kurulun istediği bilgi ve belgeyi vermekle yükümlüdür.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(5) Kurul, görüşlerini öğrenmek istediği kişileri çağırıp dinler veya bunların görüşlerini yazı ile bildirmelerini ister. Bunlar hakkında ücret ödemelerine ilişkin hükümler hariç olmak üzere </w:t>
      </w:r>
      <w:proofErr w:type="gramStart"/>
      <w:r w:rsidRPr="00AC381D">
        <w:rPr>
          <w:rFonts w:ascii="Times New Roman" w:hAnsi="Times New Roman" w:cs="Times New Roman"/>
          <w:sz w:val="24"/>
          <w:szCs w:val="24"/>
        </w:rPr>
        <w:t>12/1/2011</w:t>
      </w:r>
      <w:proofErr w:type="gramEnd"/>
      <w:r w:rsidRPr="00AC381D">
        <w:rPr>
          <w:rFonts w:ascii="Times New Roman" w:hAnsi="Times New Roman" w:cs="Times New Roman"/>
          <w:sz w:val="24"/>
          <w:szCs w:val="24"/>
        </w:rPr>
        <w:t xml:space="preserve"> tarihli ve 6100 sayılı Hukuk Muhakemeleri Kanununun tanıklara ve bilirkişilere ilişkin hükümleri uygulanır. Taraflar da, bilgilendirmek amacıyla Kurulda dinlenmelerini isteyebilir, bilgi ve belge sunabilir.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Kurulun toplanması ve kararlar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21</w:t>
      </w:r>
      <w:r w:rsidRPr="00AC381D">
        <w:rPr>
          <w:rFonts w:ascii="Times New Roman" w:hAnsi="Times New Roman" w:cs="Times New Roman"/>
          <w:sz w:val="24"/>
          <w:szCs w:val="24"/>
        </w:rPr>
        <w:t xml:space="preserve"> – (1) Kurulda işçi ve işveren temsilcileri olarak en çok işçi ve işveren mensubu olan konfederasyonlarca seçilecek ikişer üye yer alır. İşveren temsilcilerinden biri, en çok işveren mensubu olan </w:t>
      </w:r>
      <w:r w:rsidRPr="00AC381D">
        <w:rPr>
          <w:rFonts w:ascii="Times New Roman" w:hAnsi="Times New Roman" w:cs="Times New Roman"/>
          <w:sz w:val="24"/>
          <w:szCs w:val="24"/>
        </w:rPr>
        <w:lastRenderedPageBreak/>
        <w:t>işveren sendikaları konfederasyonunun seçeceği kamu işverenidir. Ancak uyuşmazlık konusunun tarafı olan sendikanın bağlı bulunduğu işçi veya işveren sendikaları konfederasyonlarının en çok üyeye sahip konfederasyondan farklı olması halinde, sendikanın bağlı bulunduğu konfederasyonun seçeceği bir üye, ikinci üyenin yerine Kurul üyesi olarak toplantıya katılır.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Kurul Başkanı, başvuruların alındığı günden başlayarak altı iş günü içinde toplanmak üzere Genel Sekreterden Kurulu toplantıya çağırmasını ister.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Kurul, Kurul Başkanınca belirlenen gün ve saatte, Kurul Başkanı ve en az beş üyenin katılımı ile toplanır. Mazeretli ya da izinli olan Kurul Başkanı ve üyelerinin yerini, yedek başkan ve aynı gruptan yedek üyelerden biri alır.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Kararlar toplantıya katılanların oy çokluğuyla verilir. Oyların eşitliği halinde, Kurul Başkanının bulunduğu taraf çoğunluğu sağlamış sayılır.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(5) Kurul görüşmeleri gizli tutulur. Kararın özeti ile varsa muhalefet görüşleri karar defterine yazılır, Kurul Başkanı ve üyelerce imzalanır.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Karar verme süresi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22</w:t>
      </w:r>
      <w:r w:rsidRPr="00AC381D">
        <w:rPr>
          <w:rFonts w:ascii="Times New Roman" w:hAnsi="Times New Roman" w:cs="Times New Roman"/>
          <w:sz w:val="24"/>
          <w:szCs w:val="24"/>
        </w:rPr>
        <w:t xml:space="preserve"> – (1) Kurul, teşmile ilişkin görüş bildirme dışındaki işlerde, yapacağı ilk toplantı gününden başlayarak en geç iki ay içinde kesin kararını verir.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Kararlarda yer alacak hususlar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23</w:t>
      </w:r>
      <w:r w:rsidRPr="00AC381D">
        <w:rPr>
          <w:rFonts w:ascii="Times New Roman" w:hAnsi="Times New Roman" w:cs="Times New Roman"/>
          <w:sz w:val="24"/>
          <w:szCs w:val="24"/>
        </w:rPr>
        <w:t xml:space="preserve"> – (1) Kurul kararları ve varsa muhalefet görüşleri gerekçeli olarak yazılır. Kararlarda; Kurul Başkanıyla üyelerin adı, soyadı ve imzası, kararın tarih ve numarası, başvuruda bulunanlar ve başvuru nedeni, uyuşmazlığın tarafları ile uyuşmazlığın olduğu işyerinin unvan ve adresi yer alır.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Kararların niteliği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24</w:t>
      </w:r>
      <w:r w:rsidRPr="00AC381D">
        <w:rPr>
          <w:rFonts w:ascii="Times New Roman" w:hAnsi="Times New Roman" w:cs="Times New Roman"/>
          <w:sz w:val="24"/>
          <w:szCs w:val="24"/>
        </w:rPr>
        <w:t xml:space="preserve"> – (1) Kurulun toplu çıkar uyuşmazlıklarına ilişkin kararları kesindir ve toplu iş sözleşmesi hükmündedir.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Tazminat ve ücretler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25</w:t>
      </w:r>
      <w:r w:rsidRPr="00AC381D">
        <w:rPr>
          <w:rFonts w:ascii="Times New Roman" w:hAnsi="Times New Roman" w:cs="Times New Roman"/>
          <w:sz w:val="24"/>
          <w:szCs w:val="24"/>
        </w:rPr>
        <w:t xml:space="preserve"> – (1) Her toplantı günü için Kurul Başkanına 1100, üyelere 1000, Kurulda görevli uzman ve </w:t>
      </w:r>
      <w:proofErr w:type="gramStart"/>
      <w:r w:rsidRPr="00AC381D">
        <w:rPr>
          <w:rFonts w:ascii="Times New Roman" w:hAnsi="Times New Roman" w:cs="Times New Roman"/>
          <w:sz w:val="24"/>
          <w:szCs w:val="24"/>
        </w:rPr>
        <w:t>raportörlere</w:t>
      </w:r>
      <w:proofErr w:type="gramEnd"/>
      <w:r w:rsidRPr="00AC381D">
        <w:rPr>
          <w:rFonts w:ascii="Times New Roman" w:hAnsi="Times New Roman" w:cs="Times New Roman"/>
          <w:sz w:val="24"/>
          <w:szCs w:val="24"/>
        </w:rPr>
        <w:t xml:space="preserve"> her çalışma günü için 700 gösterge rakamının memur aylık katsayıyla çarpılması sonucunda bulunacak miktarda tazminat ödenir. Uzman ve </w:t>
      </w:r>
      <w:proofErr w:type="gramStart"/>
      <w:r w:rsidRPr="00AC381D">
        <w:rPr>
          <w:rFonts w:ascii="Times New Roman" w:hAnsi="Times New Roman" w:cs="Times New Roman"/>
          <w:sz w:val="24"/>
          <w:szCs w:val="24"/>
        </w:rPr>
        <w:t>raportörlere</w:t>
      </w:r>
      <w:proofErr w:type="gramEnd"/>
      <w:r w:rsidRPr="00AC381D">
        <w:rPr>
          <w:rFonts w:ascii="Times New Roman" w:hAnsi="Times New Roman" w:cs="Times New Roman"/>
          <w:sz w:val="24"/>
          <w:szCs w:val="24"/>
        </w:rPr>
        <w:t xml:space="preserve"> ödenecek tazminat, aylık toplam iş gününü geçemez.</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xml:space="preserve">(2) Uzman ve </w:t>
      </w:r>
      <w:proofErr w:type="gramStart"/>
      <w:r w:rsidRPr="00AC381D">
        <w:rPr>
          <w:rFonts w:ascii="Times New Roman" w:hAnsi="Times New Roman" w:cs="Times New Roman"/>
          <w:sz w:val="24"/>
          <w:szCs w:val="24"/>
        </w:rPr>
        <w:t>raportörlerin</w:t>
      </w:r>
      <w:proofErr w:type="gramEnd"/>
      <w:r w:rsidRPr="00AC381D">
        <w:rPr>
          <w:rFonts w:ascii="Times New Roman" w:hAnsi="Times New Roman" w:cs="Times New Roman"/>
          <w:sz w:val="24"/>
          <w:szCs w:val="24"/>
        </w:rPr>
        <w:t xml:space="preserve"> çalışmaları dosya üzerinden değerlendirilir. Uzman ve </w:t>
      </w:r>
      <w:proofErr w:type="gramStart"/>
      <w:r w:rsidRPr="00AC381D">
        <w:rPr>
          <w:rFonts w:ascii="Times New Roman" w:hAnsi="Times New Roman" w:cs="Times New Roman"/>
          <w:sz w:val="24"/>
          <w:szCs w:val="24"/>
        </w:rPr>
        <w:t>raportörlere</w:t>
      </w:r>
      <w:proofErr w:type="gramEnd"/>
      <w:r w:rsidRPr="00AC381D">
        <w:rPr>
          <w:rFonts w:ascii="Times New Roman" w:hAnsi="Times New Roman" w:cs="Times New Roman"/>
          <w:sz w:val="24"/>
          <w:szCs w:val="24"/>
        </w:rPr>
        <w:t xml:space="preserve"> ödenecek tazminat; iş yoğunluğu, uyuşmazlığın niteliği ve kapsamı, işyeri ve işin özelliği dikkate alınarak Genel Sekreterce belirlenen ve Kurul Başkanınca onaylanan çalışma günü üzerinden hesaplanır.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Birinci ve ikinci fıkralar uyarınca belirlenen çalışmaların karşılığı yapılacak ödemelerin tahakkuku, birinci fıkraya göre Genel Sekreter tarafından yaptırılarak ilgililerine ödenir.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(4) Bilgi ve görüşlerini sözlü ve yazılı olarak bildirmeleri istenen bilirkişilere 500, tanıklara 400 gösterge rakamının birinci fıkrada sözü edilen katsayıyla çarpılması sonucunda bulunacak miktarda ücret ödenir.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Giderlerin karşılanması</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26</w:t>
      </w:r>
      <w:r w:rsidRPr="00AC381D">
        <w:rPr>
          <w:rFonts w:ascii="Times New Roman" w:hAnsi="Times New Roman" w:cs="Times New Roman"/>
          <w:sz w:val="24"/>
          <w:szCs w:val="24"/>
        </w:rPr>
        <w:t xml:space="preserve"> – (1) Kurulun giderleri ile demirbaş ve kırtasiye gereksinimi Bakanlık bütçesinden karşılanır.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BEŞİNCİ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Toplu Çıkar Uyuşmazlıklarında Özel Hakem İncelemesinde</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Uygulanacak Usul Hükümleri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Özel hakeme başvurma</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27</w:t>
      </w:r>
      <w:r w:rsidRPr="00AC381D">
        <w:rPr>
          <w:rFonts w:ascii="Times New Roman" w:hAnsi="Times New Roman" w:cs="Times New Roman"/>
          <w:sz w:val="24"/>
          <w:szCs w:val="24"/>
        </w:rPr>
        <w:t xml:space="preserve"> – (1) Toplu çıkar uyuşmazlıklarında özel hakeme başvurma hususunda yazılı olarak anlaşan taraflar, uyuşmazlık konularıyla bunlara ilişkin önerilerini seçtikleri özel hakeme bildirir.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Taraflar, özel hakem olarak Kurulu da seçebilir.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Özel hakemin yapacağı inceleme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28</w:t>
      </w:r>
      <w:r w:rsidRPr="00AC381D">
        <w:rPr>
          <w:rFonts w:ascii="Times New Roman" w:hAnsi="Times New Roman" w:cs="Times New Roman"/>
          <w:sz w:val="24"/>
          <w:szCs w:val="24"/>
        </w:rPr>
        <w:t xml:space="preserve"> – (1) Özel hakem, 27 </w:t>
      </w:r>
      <w:proofErr w:type="spellStart"/>
      <w:r w:rsidRPr="00AC381D">
        <w:rPr>
          <w:rFonts w:ascii="Times New Roman" w:hAnsi="Times New Roman" w:cs="Times New Roman"/>
          <w:sz w:val="24"/>
          <w:szCs w:val="24"/>
        </w:rPr>
        <w:t>nci</w:t>
      </w:r>
      <w:proofErr w:type="spellEnd"/>
      <w:r w:rsidRPr="00AC381D">
        <w:rPr>
          <w:rFonts w:ascii="Times New Roman" w:hAnsi="Times New Roman" w:cs="Times New Roman"/>
          <w:sz w:val="24"/>
          <w:szCs w:val="24"/>
        </w:rPr>
        <w:t xml:space="preserve"> maddeye göre yapılan bildirimden itibaren altı iş günü içinde uyuşmazlığı incelemeye başlar. Başvurunun özel hakem sıfatıyla incelenmeye başlandığı tarihi belirten bir yazıyı, taraflarca yapılan yazılı anlaşmanın bir örneğini de ekleyerek aynı süre içinde görevli makama gönderir.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Özel hakem, uyuşmazlığın çözümüyle ilgili olarak tarafların ve ilgili kurum ve kuruluşların bilgisine başvurabilir; taraflardan gerekli gördüğü belgeleri isteyebilir.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Özel hakemin karar verme süresi ve ücreti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29</w:t>
      </w:r>
      <w:r w:rsidRPr="00AC381D">
        <w:rPr>
          <w:rFonts w:ascii="Times New Roman" w:hAnsi="Times New Roman" w:cs="Times New Roman"/>
          <w:sz w:val="24"/>
          <w:szCs w:val="24"/>
        </w:rPr>
        <w:t xml:space="preserve"> – (1) Özel hakem, uyuşmazlığı incelemeye başladığı tarihten itibaren otuz gün içinde kararını verir ve kararı derhal yazılı olarak taraflara ve görevli makama alındı belgesi karşılığında teslim eder ya da iadeli taahhütlü olarak gönderir.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Taraflar özel hakem olarak Kurulu seçtikleri takdirde, 25 inci maddede öngörülen tazminat tutarındaki özel hakem ücretini, tebliğ tarihinden itibaren üç iş günü içinde Kurul Başkanlığı adına açılacak hesaba yatırır.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(3) Aksi kararlaştırılmadıkça, özel hakem ücreti taraflarca eşit olarak ödenir.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(4) Tarafların, Kurulu özel hakem olarak seçmeleri nedeniyle ikinci fıkraya göre yatırdıkları özel hakem ücreti, Kurulun esas hakkındaki karar toplantısına katılanlara ödenir. Bu maddeye göre yapılacak ödemeler 25 inci maddedeki tazminat ödemeleri ile ilişkilendirilmez.</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lastRenderedPageBreak/>
        <w:t> </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ALTINCI BÖLÜM</w:t>
      </w:r>
    </w:p>
    <w:p w:rsidR="00AC381D" w:rsidRPr="00AC381D" w:rsidRDefault="00AC381D" w:rsidP="00AC381D">
      <w:pPr>
        <w:spacing w:before="100" w:beforeAutospacing="1" w:after="100" w:afterAutospacing="1"/>
        <w:ind w:firstLine="567"/>
        <w:jc w:val="center"/>
        <w:rPr>
          <w:rFonts w:ascii="Times New Roman" w:hAnsi="Times New Roman" w:cs="Times New Roman"/>
          <w:sz w:val="24"/>
          <w:szCs w:val="24"/>
        </w:rPr>
      </w:pPr>
      <w:r w:rsidRPr="00AC381D">
        <w:rPr>
          <w:rFonts w:ascii="Times New Roman" w:hAnsi="Times New Roman" w:cs="Times New Roman"/>
          <w:b/>
          <w:bCs/>
          <w:sz w:val="24"/>
          <w:szCs w:val="24"/>
        </w:rPr>
        <w:t>Geçici ve Son Hükümler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Geçiş hükümleri</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GEÇİCİ MADDE 1</w:t>
      </w:r>
      <w:r w:rsidRPr="00AC381D">
        <w:rPr>
          <w:rFonts w:ascii="Times New Roman" w:hAnsi="Times New Roman" w:cs="Times New Roman"/>
          <w:sz w:val="24"/>
          <w:szCs w:val="24"/>
        </w:rPr>
        <w:t xml:space="preserve"> – (1) Bu Yönetmeliğin yayımından önce oluşturulan Seçici Kurul üyelerinden seçimle gelenlerin mevcut görevleri üç yıl tamamlanıncaya kadar devam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sz w:val="24"/>
          <w:szCs w:val="24"/>
        </w:rPr>
        <w:t>(2) Bu Yönetmeliğin yayımından önce seçilmiş arabulucular, seçildikleri görev alanlarında görev süreleri sonuna kadar devam eder.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Yürürlük</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30</w:t>
      </w:r>
      <w:r w:rsidRPr="00AC381D">
        <w:rPr>
          <w:rFonts w:ascii="Times New Roman" w:hAnsi="Times New Roman" w:cs="Times New Roman"/>
          <w:sz w:val="24"/>
          <w:szCs w:val="24"/>
        </w:rPr>
        <w:t xml:space="preserve"> – (1) Bu Yönetmelik yayımı tarihinde yürürlüğe girer.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Yürütme</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MADDE 31</w:t>
      </w:r>
      <w:r w:rsidRPr="00AC381D">
        <w:rPr>
          <w:rFonts w:ascii="Times New Roman" w:hAnsi="Times New Roman" w:cs="Times New Roman"/>
          <w:sz w:val="24"/>
          <w:szCs w:val="24"/>
        </w:rPr>
        <w:t xml:space="preserve"> – (1) Bu Yönetmelik hükümlerini Çalışma ve Sosyal Güvenlik Bakanı yürütür.</w:t>
      </w:r>
    </w:p>
    <w:p w:rsidR="00AC381D" w:rsidRPr="00AC381D" w:rsidRDefault="009800A4" w:rsidP="00AC381D">
      <w:pPr>
        <w:spacing w:before="100" w:beforeAutospacing="1" w:after="100" w:afterAutospacing="1"/>
        <w:ind w:firstLine="567"/>
        <w:jc w:val="both"/>
        <w:rPr>
          <w:rFonts w:ascii="Times New Roman" w:hAnsi="Times New Roman" w:cs="Times New Roman"/>
          <w:sz w:val="24"/>
          <w:szCs w:val="24"/>
        </w:rPr>
      </w:pPr>
      <w:hyperlink r:id="rId6" w:history="1">
        <w:r w:rsidR="00AC381D" w:rsidRPr="00AC381D">
          <w:rPr>
            <w:rStyle w:val="Kpr"/>
            <w:rFonts w:ascii="Times New Roman" w:hAnsi="Times New Roman" w:cs="Times New Roman"/>
            <w:b/>
            <w:bCs/>
            <w:sz w:val="24"/>
            <w:szCs w:val="24"/>
          </w:rPr>
          <w:t>Yönetmeliğin eklerini görmek için tıklayınız</w:t>
        </w:r>
      </w:hyperlink>
      <w:r w:rsidR="00AC381D" w:rsidRPr="00AC381D">
        <w:rPr>
          <w:rFonts w:ascii="Times New Roman" w:hAnsi="Times New Roman" w:cs="Times New Roman"/>
          <w:b/>
          <w:bCs/>
          <w:sz w:val="24"/>
          <w:szCs w:val="24"/>
        </w:rPr>
        <w:t xml:space="preserve">  </w:t>
      </w:r>
    </w:p>
    <w:p w:rsidR="00AC381D" w:rsidRPr="00AC381D" w:rsidRDefault="00AC381D" w:rsidP="00AC381D">
      <w:pPr>
        <w:spacing w:before="100" w:beforeAutospacing="1" w:after="100" w:afterAutospacing="1"/>
        <w:ind w:firstLine="567"/>
        <w:jc w:val="both"/>
        <w:rPr>
          <w:rFonts w:ascii="Times New Roman" w:hAnsi="Times New Roman" w:cs="Times New Roman"/>
          <w:color w:val="FF0000"/>
          <w:sz w:val="24"/>
          <w:szCs w:val="24"/>
        </w:rPr>
      </w:pPr>
      <w:r w:rsidRPr="00AC381D">
        <w:rPr>
          <w:rFonts w:ascii="Times New Roman" w:hAnsi="Times New Roman" w:cs="Times New Roman"/>
          <w:b/>
          <w:bCs/>
          <w:color w:val="FF0000"/>
          <w:sz w:val="24"/>
          <w:szCs w:val="24"/>
        </w:rPr>
        <w:t> Aşağıdaki sarı alana çift tıklanırsa ekler ayrı sayfada açılır.</w:t>
      </w:r>
    </w:p>
    <w:p w:rsidR="00AC381D" w:rsidRPr="00AC381D" w:rsidRDefault="00AC381D" w:rsidP="00AC381D">
      <w:pPr>
        <w:spacing w:before="100" w:beforeAutospacing="1" w:after="100" w:afterAutospacing="1"/>
        <w:ind w:firstLine="567"/>
        <w:jc w:val="both"/>
        <w:rPr>
          <w:rFonts w:ascii="Times New Roman" w:hAnsi="Times New Roman" w:cs="Times New Roman"/>
          <w:sz w:val="24"/>
          <w:szCs w:val="24"/>
        </w:rPr>
      </w:pPr>
      <w:r w:rsidRPr="00AC381D">
        <w:rPr>
          <w:rFonts w:ascii="Times New Roman" w:hAnsi="Times New Roman" w:cs="Times New Roman"/>
          <w:b/>
          <w:bCs/>
          <w:sz w:val="24"/>
          <w:szCs w:val="24"/>
        </w:rPr>
        <w:t> </w:t>
      </w:r>
      <w:bookmarkStart w:id="1" w:name="_MON_1518632215"/>
      <w:bookmarkEnd w:id="1"/>
      <w:r w:rsidRPr="00AC381D">
        <w:rPr>
          <w:rFonts w:ascii="Times New Roman" w:hAnsi="Times New Roman" w:cs="Times New Roman"/>
          <w:b/>
          <w:bCs/>
          <w:sz w:val="24"/>
          <w:szCs w:val="24"/>
          <w:highlight w:val="yellow"/>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8" ShapeID="_x0000_i1025" DrawAspect="Icon" ObjectID="_1525262168" r:id="rId8">
            <o:FieldCodes>\s</o:FieldCodes>
          </o:OLEObject>
        </w:object>
      </w:r>
    </w:p>
    <w:tbl>
      <w:tblPr>
        <w:tblW w:w="0" w:type="auto"/>
        <w:tblInd w:w="817" w:type="dxa"/>
        <w:tblCellMar>
          <w:left w:w="0" w:type="dxa"/>
          <w:right w:w="0" w:type="dxa"/>
        </w:tblCellMar>
        <w:tblLook w:val="04A0" w:firstRow="1" w:lastRow="0" w:firstColumn="1" w:lastColumn="0" w:noHBand="0" w:noVBand="1"/>
      </w:tblPr>
      <w:tblGrid>
        <w:gridCol w:w="441"/>
        <w:gridCol w:w="5057"/>
        <w:gridCol w:w="3600"/>
      </w:tblGrid>
      <w:tr w:rsidR="00AC381D" w:rsidRPr="00AC381D" w:rsidTr="00AC381D">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81D" w:rsidRPr="00AC381D" w:rsidRDefault="00AC381D" w:rsidP="00AC381D">
            <w:pPr>
              <w:spacing w:before="100" w:beforeAutospacing="1" w:after="100" w:afterAutospacing="1"/>
              <w:jc w:val="both"/>
              <w:rPr>
                <w:rFonts w:ascii="Times New Roman" w:hAnsi="Times New Roman" w:cs="Times New Roman"/>
                <w:sz w:val="24"/>
                <w:szCs w:val="24"/>
              </w:rPr>
            </w:pPr>
            <w:r w:rsidRPr="00AC381D">
              <w:rPr>
                <w:rFonts w:ascii="Times New Roman" w:hAnsi="Times New Roman" w:cs="Times New Roman"/>
                <w:sz w:val="24"/>
                <w:szCs w:val="24"/>
              </w:rPr>
              <w:t> </w:t>
            </w:r>
          </w:p>
        </w:tc>
        <w:tc>
          <w:tcPr>
            <w:tcW w:w="86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Yönetmeliğin Yayımlandığı Resmî Gazete’nin</w:t>
            </w:r>
          </w:p>
        </w:tc>
      </w:tr>
      <w:tr w:rsidR="00AC381D" w:rsidRPr="00AC381D" w:rsidTr="00AC381D">
        <w:tc>
          <w:tcPr>
            <w:tcW w:w="441" w:type="dxa"/>
            <w:vMerge w:val="restart"/>
            <w:tcBorders>
              <w:top w:val="single" w:sz="8" w:space="0" w:color="auto"/>
              <w:left w:val="single" w:sz="8" w:space="0" w:color="auto"/>
              <w:bottom w:val="single" w:sz="8" w:space="0" w:color="auto"/>
              <w:right w:val="single" w:sz="8" w:space="0" w:color="auto"/>
            </w:tcBorders>
            <w:vAlign w:val="center"/>
            <w:hideMark/>
          </w:tcPr>
          <w:p w:rsidR="00AC381D" w:rsidRPr="00AC381D" w:rsidRDefault="00AC381D" w:rsidP="00AC381D">
            <w:pPr>
              <w:jc w:val="both"/>
              <w:rPr>
                <w:rFonts w:ascii="Times New Roman" w:hAnsi="Times New Roman" w:cs="Times New Roman"/>
                <w:sz w:val="24"/>
                <w:szCs w:val="24"/>
              </w:rPr>
            </w:pP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Sayısı</w:t>
            </w:r>
          </w:p>
        </w:tc>
      </w:tr>
      <w:tr w:rsidR="00AC381D" w:rsidRPr="00AC381D" w:rsidTr="00AC381D">
        <w:tc>
          <w:tcPr>
            <w:tcW w:w="441" w:type="dxa"/>
            <w:vMerge/>
            <w:tcBorders>
              <w:top w:val="single" w:sz="8" w:space="0" w:color="auto"/>
              <w:left w:val="single" w:sz="8" w:space="0" w:color="auto"/>
              <w:bottom w:val="single" w:sz="8" w:space="0" w:color="auto"/>
              <w:right w:val="single" w:sz="8" w:space="0" w:color="auto"/>
            </w:tcBorders>
            <w:vAlign w:val="center"/>
            <w:hideMark/>
          </w:tcPr>
          <w:p w:rsidR="00AC381D" w:rsidRPr="00AC381D" w:rsidRDefault="00AC381D" w:rsidP="00AC381D">
            <w:pPr>
              <w:jc w:val="both"/>
              <w:rPr>
                <w:rFonts w:ascii="Times New Roman" w:hAnsi="Times New Roman" w:cs="Times New Roman"/>
                <w:sz w:val="24"/>
                <w:szCs w:val="24"/>
              </w:rPr>
            </w:pP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proofErr w:type="gramStart"/>
            <w:r w:rsidRPr="00AC381D">
              <w:rPr>
                <w:rFonts w:ascii="Times New Roman" w:hAnsi="Times New Roman" w:cs="Times New Roman"/>
                <w:sz w:val="24"/>
                <w:szCs w:val="24"/>
              </w:rPr>
              <w:t>7/12/2013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sz w:val="24"/>
                <w:szCs w:val="24"/>
              </w:rPr>
              <w:t>28844</w:t>
            </w:r>
          </w:p>
        </w:tc>
      </w:tr>
      <w:tr w:rsidR="00AC381D" w:rsidRPr="00AC381D" w:rsidTr="00AC381D">
        <w:tc>
          <w:tcPr>
            <w:tcW w:w="441" w:type="dxa"/>
            <w:vMerge/>
            <w:tcBorders>
              <w:top w:val="single" w:sz="8" w:space="0" w:color="auto"/>
              <w:left w:val="single" w:sz="8" w:space="0" w:color="auto"/>
              <w:bottom w:val="single" w:sz="8" w:space="0" w:color="auto"/>
              <w:right w:val="single" w:sz="8" w:space="0" w:color="auto"/>
            </w:tcBorders>
            <w:vAlign w:val="center"/>
            <w:hideMark/>
          </w:tcPr>
          <w:p w:rsidR="00AC381D" w:rsidRPr="00AC381D" w:rsidRDefault="00AC381D" w:rsidP="00AC381D">
            <w:pPr>
              <w:jc w:val="both"/>
              <w:rPr>
                <w:rFonts w:ascii="Times New Roman" w:hAnsi="Times New Roman" w:cs="Times New Roman"/>
                <w:sz w:val="24"/>
                <w:szCs w:val="24"/>
              </w:rPr>
            </w:pPr>
          </w:p>
        </w:tc>
        <w:tc>
          <w:tcPr>
            <w:tcW w:w="86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Yönetmelikte Değişiklik Yapan Yönetmeliklerin Yayımlandığı Resmî Gazetelerin</w:t>
            </w:r>
          </w:p>
        </w:tc>
      </w:tr>
      <w:tr w:rsidR="00AC381D" w:rsidRPr="00AC381D" w:rsidTr="00AC381D">
        <w:tc>
          <w:tcPr>
            <w:tcW w:w="441" w:type="dxa"/>
            <w:vMerge/>
            <w:tcBorders>
              <w:top w:val="single" w:sz="8" w:space="0" w:color="auto"/>
              <w:left w:val="single" w:sz="8" w:space="0" w:color="auto"/>
              <w:bottom w:val="single" w:sz="8" w:space="0" w:color="auto"/>
              <w:right w:val="single" w:sz="8" w:space="0" w:color="auto"/>
            </w:tcBorders>
            <w:vAlign w:val="center"/>
            <w:hideMark/>
          </w:tcPr>
          <w:p w:rsidR="00AC381D" w:rsidRPr="00AC381D" w:rsidRDefault="00AC381D" w:rsidP="00AC381D">
            <w:pPr>
              <w:jc w:val="both"/>
              <w:rPr>
                <w:rFonts w:ascii="Times New Roman" w:hAnsi="Times New Roman" w:cs="Times New Roman"/>
                <w:sz w:val="24"/>
                <w:szCs w:val="24"/>
              </w:rPr>
            </w:pP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b/>
                <w:bCs/>
                <w:sz w:val="24"/>
                <w:szCs w:val="24"/>
              </w:rPr>
              <w:t>Sayısı</w:t>
            </w:r>
          </w:p>
        </w:tc>
      </w:tr>
      <w:tr w:rsidR="00AC381D" w:rsidRPr="00AC381D" w:rsidTr="00AC381D">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81D" w:rsidRPr="00AC381D" w:rsidRDefault="00AC381D" w:rsidP="00AC381D">
            <w:pPr>
              <w:spacing w:before="100" w:beforeAutospacing="1" w:after="100" w:afterAutospacing="1"/>
              <w:jc w:val="both"/>
              <w:rPr>
                <w:rFonts w:ascii="Times New Roman" w:hAnsi="Times New Roman" w:cs="Times New Roman"/>
                <w:sz w:val="24"/>
                <w:szCs w:val="24"/>
              </w:rPr>
            </w:pPr>
            <w:r w:rsidRPr="00AC381D">
              <w:rPr>
                <w:rFonts w:ascii="Times New Roman" w:hAnsi="Times New Roman" w:cs="Times New Roman"/>
                <w:sz w:val="24"/>
                <w:szCs w:val="24"/>
              </w:rPr>
              <w:t>1</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proofErr w:type="gramStart"/>
            <w:r w:rsidRPr="00AC381D">
              <w:rPr>
                <w:rFonts w:ascii="Times New Roman" w:hAnsi="Times New Roman" w:cs="Times New Roman"/>
                <w:sz w:val="24"/>
                <w:szCs w:val="24"/>
              </w:rPr>
              <w:t>4/3/2016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spacing w:before="100" w:beforeAutospacing="1" w:after="100" w:afterAutospacing="1"/>
              <w:jc w:val="center"/>
              <w:rPr>
                <w:rFonts w:ascii="Times New Roman" w:hAnsi="Times New Roman" w:cs="Times New Roman"/>
                <w:sz w:val="24"/>
                <w:szCs w:val="24"/>
              </w:rPr>
            </w:pPr>
            <w:r w:rsidRPr="00AC381D">
              <w:rPr>
                <w:rFonts w:ascii="Times New Roman" w:hAnsi="Times New Roman" w:cs="Times New Roman"/>
                <w:sz w:val="24"/>
                <w:szCs w:val="24"/>
              </w:rPr>
              <w:t>29643</w:t>
            </w:r>
          </w:p>
        </w:tc>
      </w:tr>
      <w:tr w:rsidR="00AC381D" w:rsidRPr="00AC381D" w:rsidTr="00AC381D">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81D" w:rsidRPr="00AC381D" w:rsidRDefault="00AC381D" w:rsidP="00AC381D">
            <w:pPr>
              <w:spacing w:before="100" w:beforeAutospacing="1" w:after="100" w:afterAutospacing="1"/>
              <w:jc w:val="both"/>
              <w:rPr>
                <w:rFonts w:ascii="Times New Roman" w:hAnsi="Times New Roman" w:cs="Times New Roman"/>
                <w:sz w:val="24"/>
                <w:szCs w:val="24"/>
              </w:rPr>
            </w:pPr>
            <w:r w:rsidRPr="00AC381D">
              <w:rPr>
                <w:rFonts w:ascii="Times New Roman" w:hAnsi="Times New Roman" w:cs="Times New Roman"/>
                <w:sz w:val="24"/>
                <w:szCs w:val="24"/>
              </w:rPr>
              <w:t>2</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jc w:val="cente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jc w:val="center"/>
              <w:rPr>
                <w:rFonts w:ascii="Times New Roman" w:hAnsi="Times New Roman" w:cs="Times New Roman"/>
                <w:sz w:val="24"/>
                <w:szCs w:val="24"/>
              </w:rPr>
            </w:pPr>
          </w:p>
        </w:tc>
      </w:tr>
      <w:tr w:rsidR="00AC381D" w:rsidRPr="00AC381D" w:rsidTr="00AC381D">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81D" w:rsidRPr="00AC381D" w:rsidRDefault="00AC381D" w:rsidP="00AC381D">
            <w:pPr>
              <w:spacing w:before="100" w:beforeAutospacing="1" w:after="100" w:afterAutospacing="1"/>
              <w:jc w:val="both"/>
              <w:rPr>
                <w:rFonts w:ascii="Times New Roman" w:hAnsi="Times New Roman" w:cs="Times New Roman"/>
                <w:sz w:val="24"/>
                <w:szCs w:val="24"/>
              </w:rPr>
            </w:pPr>
            <w:r w:rsidRPr="00AC381D">
              <w:rPr>
                <w:rFonts w:ascii="Times New Roman" w:hAnsi="Times New Roman" w:cs="Times New Roman"/>
                <w:sz w:val="24"/>
                <w:szCs w:val="24"/>
              </w:rPr>
              <w:t>3</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jc w:val="center"/>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C381D" w:rsidRPr="00AC381D" w:rsidRDefault="00AC381D" w:rsidP="00AC381D">
            <w:pPr>
              <w:jc w:val="center"/>
              <w:rPr>
                <w:rFonts w:ascii="Times New Roman" w:hAnsi="Times New Roman" w:cs="Times New Roman"/>
                <w:sz w:val="24"/>
                <w:szCs w:val="24"/>
              </w:rPr>
            </w:pPr>
          </w:p>
        </w:tc>
      </w:tr>
    </w:tbl>
    <w:p w:rsidR="005F7BCF" w:rsidRPr="00AC381D" w:rsidRDefault="005F7BCF" w:rsidP="00AC381D">
      <w:pPr>
        <w:spacing w:before="100" w:beforeAutospacing="1" w:after="100" w:afterAutospacing="1"/>
        <w:ind w:firstLine="567"/>
        <w:jc w:val="both"/>
        <w:rPr>
          <w:rFonts w:ascii="Times New Roman" w:hAnsi="Times New Roman" w:cs="Times New Roman"/>
          <w:sz w:val="24"/>
          <w:szCs w:val="24"/>
        </w:rPr>
      </w:pPr>
    </w:p>
    <w:sectPr w:rsidR="005F7BCF" w:rsidRPr="00AC381D" w:rsidSect="007F332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A4" w:rsidRDefault="009800A4" w:rsidP="007F3328">
      <w:pPr>
        <w:spacing w:after="0" w:line="240" w:lineRule="auto"/>
      </w:pPr>
      <w:r>
        <w:separator/>
      </w:r>
    </w:p>
  </w:endnote>
  <w:endnote w:type="continuationSeparator" w:id="0">
    <w:p w:rsidR="009800A4" w:rsidRDefault="009800A4"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AF1294">
              <w:rPr>
                <w:bCs/>
                <w:i/>
                <w:noProof/>
                <w:sz w:val="20"/>
                <w:szCs w:val="20"/>
              </w:rPr>
              <w:t>10</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AF1294">
              <w:rPr>
                <w:bCs/>
                <w:i/>
                <w:noProof/>
                <w:sz w:val="20"/>
                <w:szCs w:val="20"/>
              </w:rPr>
              <w:t>10</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A4" w:rsidRDefault="009800A4" w:rsidP="007F3328">
      <w:pPr>
        <w:spacing w:after="0" w:line="240" w:lineRule="auto"/>
      </w:pPr>
      <w:r>
        <w:separator/>
      </w:r>
    </w:p>
  </w:footnote>
  <w:footnote w:type="continuationSeparator" w:id="0">
    <w:p w:rsidR="009800A4" w:rsidRDefault="009800A4"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2F4776"/>
    <w:rsid w:val="003A1AC9"/>
    <w:rsid w:val="004556F8"/>
    <w:rsid w:val="004C0E60"/>
    <w:rsid w:val="005A2CC7"/>
    <w:rsid w:val="005F7BCF"/>
    <w:rsid w:val="007F3328"/>
    <w:rsid w:val="008104AD"/>
    <w:rsid w:val="00905975"/>
    <w:rsid w:val="009800A4"/>
    <w:rsid w:val="00982B96"/>
    <w:rsid w:val="00AC381D"/>
    <w:rsid w:val="00AF1294"/>
    <w:rsid w:val="00B623D2"/>
    <w:rsid w:val="00C301F7"/>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851988785">
      <w:bodyDiv w:val="1"/>
      <w:marLeft w:val="0"/>
      <w:marRight w:val="0"/>
      <w:marTop w:val="0"/>
      <w:marBottom w:val="0"/>
      <w:divBdr>
        <w:top w:val="none" w:sz="0" w:space="0" w:color="auto"/>
        <w:left w:val="none" w:sz="0" w:space="0" w:color="auto"/>
        <w:bottom w:val="none" w:sz="0" w:space="0" w:color="auto"/>
        <w:right w:val="none" w:sz="0" w:space="0" w:color="auto"/>
      </w:divBdr>
      <w:divsChild>
        <w:div w:id="771126132">
          <w:marLeft w:val="0"/>
          <w:marRight w:val="0"/>
          <w:marTop w:val="0"/>
          <w:marBottom w:val="0"/>
          <w:divBdr>
            <w:top w:val="none" w:sz="0" w:space="0" w:color="auto"/>
            <w:left w:val="none" w:sz="0" w:space="0" w:color="auto"/>
            <w:bottom w:val="none" w:sz="0" w:space="0" w:color="auto"/>
            <w:right w:val="none" w:sz="0" w:space="0" w:color="auto"/>
          </w:divBdr>
        </w:div>
        <w:div w:id="1513185121">
          <w:marLeft w:val="0"/>
          <w:marRight w:val="0"/>
          <w:marTop w:val="0"/>
          <w:marBottom w:val="0"/>
          <w:divBdr>
            <w:top w:val="none" w:sz="0" w:space="0" w:color="auto"/>
            <w:left w:val="none" w:sz="0" w:space="0" w:color="auto"/>
            <w:bottom w:val="single" w:sz="6" w:space="0" w:color="808080"/>
            <w:right w:val="none" w:sz="0" w:space="0" w:color="auto"/>
          </w:divBdr>
        </w:div>
      </w:divsChild>
    </w:div>
    <w:div w:id="1609969618">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MevzuatMetin/yonetmelik/7.5.19094%20ek.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3165</Words>
  <Characters>18046</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Volkan</cp:lastModifiedBy>
  <cp:revision>11</cp:revision>
  <dcterms:created xsi:type="dcterms:W3CDTF">2013-04-27T09:36:00Z</dcterms:created>
  <dcterms:modified xsi:type="dcterms:W3CDTF">2016-05-20T12:10:00Z</dcterms:modified>
</cp:coreProperties>
</file>